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516A1">
      <w:pPr>
        <w:keepNext w:val="0"/>
        <w:keepLines w:val="0"/>
        <w:pageBreakBefore w:val="0"/>
        <w:widowControl w:val="0"/>
        <w:kinsoku/>
        <w:wordWrap/>
        <w:overflowPunct/>
        <w:topLinePunct w:val="0"/>
        <w:autoSpaceDE/>
        <w:autoSpaceDN/>
        <w:bidi w:val="0"/>
        <w:adjustRightInd w:val="0"/>
        <w:snapToGrid w:val="0"/>
        <w:spacing w:line="360" w:lineRule="auto"/>
        <w:ind w:firstLine="721" w:firstLineChars="200"/>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方正公文小标宋" w:hAnsi="方正公文小标宋" w:eastAsia="方正公文小标宋" w:cs="方正公文小标宋"/>
          <w:b/>
          <w:bCs w:val="0"/>
          <w:color w:val="000000" w:themeColor="text1"/>
          <w:kern w:val="2"/>
          <w:sz w:val="36"/>
          <w:szCs w:val="36"/>
          <w:lang w:val="en-US" w:eastAsia="zh-CN" w:bidi="ar-SA"/>
          <w14:textFill>
            <w14:solidFill>
              <w14:schemeClr w14:val="tx1"/>
            </w14:solidFill>
          </w14:textFill>
        </w:rPr>
        <w:t>知情及安全责任承诺书（参考模板）</w:t>
      </w:r>
      <w:bookmarkStart w:id="0" w:name="_GoBack"/>
      <w:bookmarkEnd w:id="0"/>
    </w:p>
    <w:p w14:paraId="6968336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***学院学生，因</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（事件详细描述）被确诊为***疾病，于***年***月至***年***月休学（请假）治疗。休学（请假）期间，***学生在***医院接受了相关治疗，现***医院诊断</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(填写诊断结果)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已经明确告知学生***及其家长***，学生***返校学习因学习压力、集体生活等诸多因素影响不利于治疗和康复，在各种不确定因素下（包括但不限于学习、人际交往等方面可能带来的压力或危险），可能引发学生***心理波动，容易造成疾病反复且不易察觉、危险性大，存在极大安全隐患。但是，学生***本人及家长学生***从学业成长考虑，极力要求准许其返校学习，且接受（不接受）学校给出的陪读建议。为做好学生***的身心健康教育和安全管理工作，基于上述情况，***家长及***本人已知晓并作出安全责任承诺如下：</w:t>
      </w:r>
    </w:p>
    <w:p w14:paraId="5A48E7D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在学校读书期间，因为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个人原因造成的各种伤害事故，责任由本人及其家长承担。其间，如果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出现了心理问题，家长要</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无条件密切</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配合学校，每天与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同学</w:t>
      </w:r>
      <w:r>
        <w:rPr>
          <w:rFonts w:hint="default"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保持联系</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，了解学生的思想动态、情绪变化，</w:t>
      </w:r>
      <w:r>
        <w:rPr>
          <w:rFonts w:hint="default"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带其定期</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（至少每月一次）</w:t>
      </w:r>
      <w:r>
        <w:rPr>
          <w:rFonts w:hint="default"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前往专业门诊进行诊疗</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复查</w:t>
      </w:r>
      <w:r>
        <w:rPr>
          <w:rFonts w:hint="default"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，向</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学校</w:t>
      </w:r>
      <w:r>
        <w:rPr>
          <w:rFonts w:hint="default"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提交复查结果</w:t>
      </w:r>
      <w:r>
        <w:rPr>
          <w:rFonts w:hint="eastAsia" w:ascii="仿宋_GB2312" w:hAnsi="仿宋_GB2312" w:eastAsia="仿宋_GB2312" w:cs="仿宋_GB2312"/>
          <w:b w:val="0"/>
          <w:bCs w:val="0"/>
          <w:color w:val="000000" w:themeColor="text1"/>
          <w:kern w:val="0"/>
          <w:sz w:val="32"/>
          <w:szCs w:val="32"/>
          <w:u w:val="none"/>
          <w:lang w:val="en-US" w:eastAsia="zh-CN"/>
          <w14:textFill>
            <w14:solidFill>
              <w14:schemeClr w14:val="tx1"/>
            </w14:solidFill>
          </w14:textFill>
        </w:rPr>
        <w:t>，及时、详实地向学校提供学生思想、心理、学习、生活等各个方面的客观情况（家长应确保至少每月向学校反馈一次学生的情况，学生发生突发状况的，应立即通知学校），</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遵照医嘱进行治疗，督促学生按时吃药并对其多加以支持与鼓励。学习期间，若该生健康状况再度出现心理异常，即办理休学手续。如</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学生***</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发生任何人身伤害及意外事故（如自杀、自伤、出走、伤人等）或</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发生侵害</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自身、他人、学校等</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行为</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造成自身、他人</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及</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学校人身或财产</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损害</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的情况，以及</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因***学生的</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不良或危险行为产生的任何不良后果，责任全部由</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家长和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同学自负，与学校无关</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，因此给学校造成损失的，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家长和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0"/>
          <w:sz w:val="32"/>
          <w:szCs w:val="32"/>
          <w:u w:val="none"/>
          <w:lang w:val="en-US" w:eastAsia="zh-CN"/>
          <w14:textFill>
            <w14:solidFill>
              <w14:schemeClr w14:val="tx1"/>
            </w14:solidFill>
          </w14:textFill>
        </w:rPr>
        <w:t>同学</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应当全额赔偿学校的损失。</w:t>
      </w:r>
    </w:p>
    <w:p w14:paraId="5A67A62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二、</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如出现因应激事件或其他不可控因素导致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心理波动大、有极端念头或行为，或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发生</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经学校心理健康教育中心评估需转介的情况时，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家长</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应及时带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去具备专业能力的医疗机构就诊并向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提交诊断结果，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家长</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不履行监护职责或不按期向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提交相关资料的，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有权聘请专业的机构对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进行诊断，如经诊断病情不良的，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有权要求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休学或视诊断情况按法律法规及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学校</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规章制度规定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对学生***</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作出退学处理。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家长承诺，学生***的诊查费、治疗费等费用以及学校聘请专业机构所产生的费用均由家长全额</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承担。</w:t>
      </w:r>
    </w:p>
    <w:p w14:paraId="4E465CC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病情如再次出现加重或反常，或无法适应修读生活，或无法达到学校规定的毕业条件而正常毕业的，学校将根据相关规定给予休学处理，家长应及时来校办理相关手续，不按要求及时办理手续的，或经学校指定的医疗机构鉴定学生***不能继续在学校就读的，或学生***再次休学、保留学籍期满，在规定期限内未提出复学申请或经复查仍不具备在校就读条件的，学校将根据《普通高等学校学生管理规定（2017修订）》（教育部令第41号）及学校相关的学籍管理规定，给予退学处理。</w:t>
      </w:r>
    </w:p>
    <w:p w14:paraId="36CF438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学生***就读期间，须严格遵守学校各项规章制度，学校对学生***行为规范和学业的要求与其他在校就读学生没有差别，学生***的学习成绩未达到学校要求或在学校规定年限内未完成学业，或发生其他法律法规或学校相关规章管理制度规定的可予退学处理的情形的，学校有权根据相关规定给予退学处理。</w:t>
      </w:r>
    </w:p>
    <w:p w14:paraId="108ABBB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此《知情及安全责任承诺书》家长、学生签字后生效。             </w:t>
      </w:r>
    </w:p>
    <w:p w14:paraId="207CD599">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15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家长签名：           </w:t>
      </w:r>
    </w:p>
    <w:p w14:paraId="64AAED53">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15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年    月   日     </w:t>
      </w:r>
    </w:p>
    <w:p w14:paraId="42DABDF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学生签名：</w:t>
      </w:r>
    </w:p>
    <w:p w14:paraId="0B6874E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年    月   日</w:t>
      </w:r>
    </w:p>
    <w:p w14:paraId="2A6A2015">
      <w:pPr>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000000" w:themeColor="text1"/>
          <w14:textFill>
            <w14:solidFill>
              <w14:schemeClr w14:val="tx1"/>
            </w14:solidFill>
          </w14:textFill>
        </w:rPr>
      </w:pPr>
    </w:p>
    <w:p w14:paraId="198E2152">
      <w:pPr>
        <w:keepNext w:val="0"/>
        <w:keepLines w:val="0"/>
        <w:pageBreakBefore w:val="0"/>
        <w:widowControl w:val="0"/>
        <w:kinsoku/>
        <w:wordWrap/>
        <w:overflowPunct/>
        <w:topLinePunct w:val="0"/>
        <w:autoSpaceDE/>
        <w:autoSpaceDN/>
        <w:bidi w:val="0"/>
        <w:adjustRightInd w:val="0"/>
        <w:snapToGrid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875E6A4-3767-404C-9ECE-059D77955B7D}"/>
  </w:font>
  <w:font w:name="仿宋_GB2312">
    <w:panose1 w:val="02010609030101010101"/>
    <w:charset w:val="86"/>
    <w:family w:val="auto"/>
    <w:pitch w:val="default"/>
    <w:sig w:usb0="00000001" w:usb1="080E0000" w:usb2="00000000" w:usb3="00000000" w:csb0="00040000" w:csb1="00000000"/>
    <w:embedRegular r:id="rId2" w:fontKey="{1FBB1AC3-DCA1-407E-AC2F-BF67B92CB993}"/>
  </w:font>
  <w:font w:name="方正公文小标宋">
    <w:panose1 w:val="02000500000000000000"/>
    <w:charset w:val="86"/>
    <w:family w:val="auto"/>
    <w:pitch w:val="default"/>
    <w:sig w:usb0="A00002BF" w:usb1="38CF7CFA" w:usb2="00000016" w:usb3="00000000" w:csb0="00040001" w:csb1="00000000"/>
    <w:embedRegular r:id="rId3" w:fontKey="{A4BA4721-FC3D-480C-857F-1389E6450E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B6482"/>
    <w:rsid w:val="044B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2024-12-14T07:08:00Z</dcterms:created>
  <dc:creator>DF0808</dc:creator>
  <cp:lastModifiedBy>DF0808</cp:lastModifiedBy>
  <dcterms:modified xsi:type="dcterms:W3CDTF">2024-12-14T07:08:43Z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240B1975736C42A5B88F73E1CECA8187_11</vt:lpwstr>
  </property>
</Properties>
</file>